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sz w:val="36"/>
          <w:szCs w:val="36"/>
          <w:rtl w:val="0"/>
        </w:rPr>
        <w:t xml:space="preserve">Conocé nuestros adhesivos para grandes formatos y elegí el que más se adapta a tu hogar 👀</w:t>
        <w:br w:type="textWrapping"/>
        <w:br w:type="textWrapping"/>
        <w:t xml:space="preserve"> Weber superflex, ideal piezas de 160cm en interior, y de 120cm en exterior.</w:t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sz w:val="36"/>
          <w:szCs w:val="36"/>
          <w:rtl w:val="0"/>
        </w:rPr>
        <w:t xml:space="preserve">Weber superformatos, ideal para piezas mayores a 160cm en interior y mayores a 120cm en exterior.</w:t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sz w:val="36"/>
          <w:szCs w:val="36"/>
          <w:rtl w:val="0"/>
        </w:rPr>
        <w:br w:type="textWrapping"/>
        <w:t xml:space="preserve"> Con Weber, todo lo que te importa nos importa.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